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DD6FC5" w:rsidRDefault="00862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DD6FC5">
        <w:rPr>
          <w:rFonts w:cstheme="minorHAnsi"/>
          <w:sz w:val="24"/>
          <w:szCs w:val="24"/>
        </w:rPr>
        <w:t xml:space="preserve">sluge tjelesne zaštite i </w:t>
      </w:r>
      <w:proofErr w:type="spellStart"/>
      <w:r w:rsidRPr="00DD6FC5">
        <w:rPr>
          <w:rFonts w:cstheme="minorHAnsi"/>
          <w:sz w:val="24"/>
          <w:szCs w:val="24"/>
        </w:rPr>
        <w:t>monitoringa</w:t>
      </w:r>
      <w:proofErr w:type="spellEnd"/>
      <w:r w:rsidRPr="00DD6FC5">
        <w:rPr>
          <w:rFonts w:cstheme="minorHAnsi"/>
          <w:sz w:val="24"/>
          <w:szCs w:val="24"/>
        </w:rPr>
        <w:t xml:space="preserve"> 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4D5A3E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862F5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862F5B">
              <w:rPr>
                <w:rFonts w:eastAsia="Times New Roman" w:cstheme="minorHAnsi"/>
                <w:i/>
                <w:iCs/>
                <w:lang w:eastAsia="hr-HR"/>
              </w:rPr>
              <w:t xml:space="preserve">zadužena za potpisivanje Ugovora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 </w:t>
            </w:r>
            <w:r w:rsidR="00862F5B">
              <w:rPr>
                <w:rFonts w:eastAsia="Times New Roman" w:cstheme="minorHAnsi"/>
                <w:i/>
                <w:iCs/>
                <w:lang w:eastAsia="hr-HR"/>
              </w:rPr>
              <w:t xml:space="preserve">pružanju usluge tjelesne zaštite i </w:t>
            </w:r>
            <w:proofErr w:type="spellStart"/>
            <w:r w:rsidR="00862F5B">
              <w:rPr>
                <w:rFonts w:eastAsia="Times New Roman" w:cstheme="minorHAnsi"/>
                <w:i/>
                <w:iCs/>
                <w:lang w:eastAsia="hr-HR"/>
              </w:rPr>
              <w:t>monitoringa</w:t>
            </w:r>
            <w:proofErr w:type="spellEnd"/>
            <w:r w:rsidR="00862F5B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444E1A">
        <w:rPr>
          <w:rFonts w:eastAsia="Times New Roman" w:cstheme="minorHAnsi"/>
          <w:sz w:val="24"/>
          <w:szCs w:val="24"/>
          <w:lang w:eastAsia="hr-HR"/>
        </w:rPr>
        <w:t xml:space="preserve">Usluge tjelesne zaštite i </w:t>
      </w:r>
      <w:proofErr w:type="spellStart"/>
      <w:r w:rsidR="00444E1A">
        <w:rPr>
          <w:rFonts w:eastAsia="Times New Roman" w:cstheme="minorHAnsi"/>
          <w:sz w:val="24"/>
          <w:szCs w:val="24"/>
          <w:lang w:eastAsia="hr-HR"/>
        </w:rPr>
        <w:t>monitoringa</w:t>
      </w:r>
      <w:proofErr w:type="spellEnd"/>
      <w:r w:rsidRPr="00C65609">
        <w:rPr>
          <w:rFonts w:eastAsia="Times New Roman" w:cstheme="minorHAnsi"/>
          <w:sz w:val="24"/>
          <w:szCs w:val="24"/>
          <w:lang w:eastAsia="hr-HR"/>
        </w:rPr>
        <w:t xml:space="preserve"> 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  <w:bookmarkStart w:id="0" w:name="_GoBack"/>
      <w:bookmarkEnd w:id="0"/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3E" w:rsidRDefault="004D5A3E" w:rsidP="001725B5">
      <w:pPr>
        <w:spacing w:after="0" w:line="240" w:lineRule="auto"/>
      </w:pPr>
      <w:r>
        <w:separator/>
      </w:r>
    </w:p>
  </w:endnote>
  <w:endnote w:type="continuationSeparator" w:id="0">
    <w:p w:rsidR="004D5A3E" w:rsidRDefault="004D5A3E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3E" w:rsidRDefault="004D5A3E" w:rsidP="001725B5">
      <w:pPr>
        <w:spacing w:after="0" w:line="240" w:lineRule="auto"/>
      </w:pPr>
      <w:r>
        <w:separator/>
      </w:r>
    </w:p>
  </w:footnote>
  <w:footnote w:type="continuationSeparator" w:id="0">
    <w:p w:rsidR="004D5A3E" w:rsidRDefault="004D5A3E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1725B5">
    <w:pPr>
      <w:pStyle w:val="Zaglavlje"/>
    </w:pPr>
    <w:r>
      <w:t>Obrazac 1.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504B5"/>
    <w:rsid w:val="001725B5"/>
    <w:rsid w:val="002E3C41"/>
    <w:rsid w:val="00444E1A"/>
    <w:rsid w:val="004B76E2"/>
    <w:rsid w:val="004D5A3E"/>
    <w:rsid w:val="005C546E"/>
    <w:rsid w:val="006056EA"/>
    <w:rsid w:val="00862F5B"/>
    <w:rsid w:val="00AD5AD3"/>
    <w:rsid w:val="00B30CB9"/>
    <w:rsid w:val="00B726AE"/>
    <w:rsid w:val="00C65609"/>
    <w:rsid w:val="00D72AEE"/>
    <w:rsid w:val="00DD6FC5"/>
    <w:rsid w:val="00F873B1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2018-07-17T07:36:00Z</dcterms:created>
  <dcterms:modified xsi:type="dcterms:W3CDTF">2018-07-17T09:07:00Z</dcterms:modified>
</cp:coreProperties>
</file>